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ВЫДЕРЖКА ИЗ ПРАВИЛ ПРОТИВОПОЖАРНОГО РЕЖИМА</w:t>
        <w:br/>
      </w:r>
      <w:r>
        <w:rPr>
          <w:b/>
          <w:sz w:val="22"/>
        </w:rPr>
        <w:t>Российская Федерация — требования к огнетушителям</w:t>
      </w:r>
    </w:p>
    <w:p>
      <w:r>
        <w:rPr>
          <w:b/>
        </w:rPr>
        <w:t xml:space="preserve">Основание: </w:t>
      </w:r>
      <w:r>
        <w:t>Постановление Правительства РФ от 16.09.2020 № 1479 «Об утверждении Правил противопожарного режима в Российской Федерации», редакция от 03.02.2025.</w:t>
      </w:r>
    </w:p>
    <w:p>
      <w:r>
        <w:rPr>
          <w:b/>
        </w:rPr>
        <w:t xml:space="preserve">Важно: </w:t>
      </w:r>
      <w:r>
        <w:t>это тематическая выдержка для удобства, а не полный текст нормативного акта. Перед официальным применением сверяйтесь с действующей редакцией документа.</w:t>
      </w:r>
    </w:p>
    <w:p>
      <w:pPr>
        <w:pStyle w:val="Heading1"/>
      </w:pPr>
      <w:r>
        <w:t>Раздел XIX. Обеспечение объектов защиты первичными средствами пожаротушения</w:t>
      </w:r>
    </w:p>
    <w:p>
      <w:pPr>
        <w:spacing w:after="80"/>
      </w:pPr>
      <w:r>
        <w:rPr>
          <w:b/>
        </w:rPr>
        <w:t xml:space="preserve">395. </w:t>
      </w:r>
      <w:r>
        <w:t>При определении видов и количества первичных средств пожаротушения следует учитывать физико-химические и пожароопасные свойства горючих веществ, их взаимодействие с огнетушащими веществами, а также площадь помещений, открытых площадок и установок.</w:t>
      </w:r>
    </w:p>
    <w:p>
      <w:pPr>
        <w:spacing w:after="80"/>
      </w:pPr>
      <w:r>
        <w:rPr>
          <w:b/>
        </w:rPr>
        <w:t xml:space="preserve">396. </w:t>
      </w:r>
      <w:r>
        <w:t>Комплектование технологического оборудования огнетушителями осуществляется согласно требованиям технических условий (паспортов) на это оборудование.</w:t>
      </w:r>
    </w:p>
    <w:p>
      <w:pPr>
        <w:spacing w:after="80"/>
      </w:pPr>
      <w:r>
        <w:rPr>
          <w:b/>
        </w:rPr>
        <w:t xml:space="preserve">397. </w:t>
      </w:r>
      <w:r>
        <w:t>Выбор типа и расчет необходимого количества огнетушителей на объекте защиты (в помещении) осуществляется в соответствии с Правилами и приложениями № 1 и 2 к ним — в зависимости от огнетушащей способности огнетушителя, категорий помещений по пожарной и взрывопожарной опасности, а также класса пожара.</w:t>
      </w:r>
    </w:p>
    <w:p>
      <w:pPr>
        <w:spacing w:after="80"/>
      </w:pPr>
      <w:r>
        <w:rPr>
          <w:b/>
        </w:rPr>
        <w:t xml:space="preserve">398. </w:t>
      </w:r>
      <w:r>
        <w:t>При выборе огнетушителя с соответствующим температурным пределом использования учитываются климатические условия эксплуатации зданий, сооружений и помещений.</w:t>
      </w:r>
    </w:p>
    <w:p>
      <w:pPr>
        <w:spacing w:after="80"/>
      </w:pPr>
      <w:r>
        <w:rPr>
          <w:b/>
        </w:rPr>
        <w:t xml:space="preserve">399. </w:t>
      </w:r>
      <w:r>
        <w:t>Если возможны комбинированные очаги пожара, предпочтение при выборе огнетушителя отдается более универсальному по области применения.</w:t>
      </w:r>
    </w:p>
    <w:p>
      <w:pPr>
        <w:spacing w:after="80"/>
      </w:pPr>
      <w:r>
        <w:rPr>
          <w:b/>
        </w:rPr>
        <w:t xml:space="preserve">400. </w:t>
      </w:r>
      <w:r>
        <w:t>В общественных зданиях и сооружениях на каждом этаже размещается не менее 2 огнетушителей с минимальным рангом тушения модельного очага пожара в соответствии с приложением № 1. Расстояние до огнетушителя не должно превышать норм, установленных пунктом 406.</w:t>
      </w:r>
    </w:p>
    <w:p>
      <w:pPr>
        <w:spacing w:after="80"/>
      </w:pPr>
      <w:r>
        <w:rPr>
          <w:b/>
        </w:rPr>
        <w:t xml:space="preserve">401. </w:t>
      </w:r>
      <w:r>
        <w:t>Помещение категории Д по взрывопожарной и пожарной опасности не оснащается огнетушителями, если площадь помещения не превышает 100 кв. метров.</w:t>
      </w:r>
    </w:p>
    <w:p>
      <w:pPr>
        <w:spacing w:after="80"/>
      </w:pPr>
      <w:r>
        <w:rPr>
          <w:b/>
        </w:rPr>
        <w:t xml:space="preserve">402. </w:t>
      </w:r>
      <w:r>
        <w:t>При наличии нескольких рядом расположенных помещений одного функционального назначения необходимое количество огнетушителей определяется по суммарной площади этих помещений с учетом Правил.</w:t>
      </w:r>
    </w:p>
    <w:p>
      <w:pPr>
        <w:spacing w:after="80"/>
      </w:pPr>
      <w:r>
        <w:rPr>
          <w:b/>
        </w:rPr>
        <w:t xml:space="preserve">403. </w:t>
      </w:r>
      <w:r>
        <w:t>Каждый огнетушитель, отправленный с объекта защиты на перезарядку, заменяется заряженным огнетушителем, соответствующим минимальному рангу тушения модельного очага пожара отправленного на перезарядку огнетушителя.</w:t>
      </w:r>
    </w:p>
    <w:p>
      <w:pPr>
        <w:spacing w:after="80"/>
      </w:pPr>
      <w:r>
        <w:rPr>
          <w:b/>
        </w:rPr>
        <w:t xml:space="preserve">404. </w:t>
      </w:r>
      <w:r>
        <w:t>При защите помещений огнетушителями учитывается специфика взаимодействия огнетушащих веществ с защищаемым оборудованием, изделиями и материалами.</w:t>
      </w:r>
    </w:p>
    <w:p>
      <w:pPr>
        <w:spacing w:after="80"/>
      </w:pPr>
      <w:r>
        <w:rPr>
          <w:b/>
        </w:rPr>
        <w:t xml:space="preserve">405. </w:t>
      </w:r>
      <w:r>
        <w:t>Помещения, оборудованные автоматическими установками пожаротушения, обеспечиваются огнетушителями в количестве 50% расчетного количества; расстояние до огнетушителя не должно превышать норм пункта 406.</w:t>
      </w:r>
    </w:p>
    <w:p>
      <w:pPr>
        <w:spacing w:after="80"/>
      </w:pPr>
      <w:r>
        <w:rPr>
          <w:b/>
        </w:rPr>
        <w:t xml:space="preserve">406. </w:t>
      </w:r>
      <w:r>
        <w:t>Расстояние от возможного очага пожара до переносного огнетушителя (с учетом перегородок, дверных проемов, загромождений и оборудования) не должно превышать: 20 м — для административных и общественных помещений; 30 м — для помещений категорий А, Б и В1–В4; 40 м — для категории Г; 70 м — для категории Д. Производственные и складские помещения площадью более 500 кв. м дополнительно оснащаются передвижными огнетушителями по приложению № 2. Помещения категории Д не требуют оснащения передвижными огнетушителями.</w:t>
      </w:r>
    </w:p>
    <w:p>
      <w:pPr>
        <w:spacing w:after="80"/>
      </w:pPr>
      <w:r>
        <w:rPr>
          <w:b/>
        </w:rPr>
        <w:t xml:space="preserve">407. </w:t>
      </w:r>
      <w:r>
        <w:t>Каждый установленный огнетушитель должен иметь порядковый номер на корпусе и дату зарядки (перезарядки); запускающее или запорно-пусковое устройство должно быть опломбировано.</w:t>
      </w:r>
    </w:p>
    <w:p>
      <w:pPr>
        <w:spacing w:after="80"/>
      </w:pPr>
      <w:r>
        <w:rPr>
          <w:b/>
        </w:rPr>
        <w:t xml:space="preserve">408. </w:t>
      </w:r>
      <w:r>
        <w:t>В зимнее время огнетушители с зарядом на водной основе хранятся в соответствии с инструкцией изготовителя.</w:t>
      </w:r>
    </w:p>
    <w:p>
      <w:pPr>
        <w:spacing w:after="80"/>
      </w:pPr>
      <w:r>
        <w:rPr>
          <w:b/>
        </w:rPr>
        <w:t xml:space="preserve">409. </w:t>
      </w:r>
      <w:r>
        <w:t>Огнетушители в коридорах и проходах не должны препятствовать безопасной эвакуации. Их размещают на видных местах возле выходов, на высоте не более 1,5 м до верха корпуса либо в специальных подставках, исключающих падение или опрокидывание.</w:t>
      </w:r>
    </w:p>
    <w:p>
      <w:pPr>
        <w:pStyle w:val="Heading1"/>
      </w:pPr>
      <w:r>
        <w:t>Приложение № 1. Переносные огнетушители</w:t>
      </w:r>
    </w:p>
    <w:p>
      <w:r>
        <w:t>Нормы обеспечения переносными огнетушителями определяются по категории помещения по пожарной и взрывопожарной опасности и классу пожара. Нормативная таблица устанавливает требуемый ранг тушения модельного очага для категорий А, Б, В1–В4, Г, Д и общественных зданий. Для смешанных горючих материалов применяют универсальные по области применения огнетушители; выбор типа должен учитывать безопасность людей и имущества.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c>
          <w:tcPr>
            <w:tcW w:type="dxa" w:w="3408"/>
          </w:tcPr>
          <w:p>
            <w:r>
              <w:t>Категория помещения</w:t>
            </w:r>
          </w:p>
        </w:tc>
        <w:tc>
          <w:tcPr>
            <w:tcW w:type="dxa" w:w="3408"/>
          </w:tcPr>
          <w:p>
            <w:r>
              <w:t>Класс пожара</w:t>
            </w:r>
          </w:p>
        </w:tc>
        <w:tc>
          <w:tcPr>
            <w:tcW w:type="dxa" w:w="3408"/>
          </w:tcPr>
          <w:p>
            <w:r>
              <w:t>Ранг тушения модельного очага</w:t>
            </w:r>
          </w:p>
        </w:tc>
      </w:tr>
      <w:tr>
        <w:tc>
          <w:tcPr>
            <w:tcW w:type="dxa" w:w="3408"/>
          </w:tcPr>
          <w:p>
            <w:r>
              <w:t>А, Б, В1–В4</w:t>
            </w:r>
          </w:p>
        </w:tc>
        <w:tc>
          <w:tcPr>
            <w:tcW w:type="dxa" w:w="3408"/>
          </w:tcPr>
          <w:p>
            <w:r>
              <w:t>A</w:t>
            </w:r>
          </w:p>
        </w:tc>
        <w:tc>
          <w:tcPr>
            <w:tcW w:type="dxa" w:w="3408"/>
          </w:tcPr>
          <w:p>
            <w:r>
              <w:t>3A</w:t>
            </w:r>
          </w:p>
        </w:tc>
      </w:tr>
      <w:tr>
        <w:tc>
          <w:tcPr>
            <w:tcW w:type="dxa" w:w="3408"/>
          </w:tcPr>
          <w:p>
            <w:r>
              <w:t>А, Б, В1–В4</w:t>
            </w:r>
          </w:p>
        </w:tc>
        <w:tc>
          <w:tcPr>
            <w:tcW w:type="dxa" w:w="3408"/>
          </w:tcPr>
          <w:p>
            <w:r>
              <w:t>B</w:t>
            </w:r>
          </w:p>
        </w:tc>
        <w:tc>
          <w:tcPr>
            <w:tcW w:type="dxa" w:w="3408"/>
          </w:tcPr>
          <w:p>
            <w:r>
              <w:t>70B</w:t>
            </w:r>
          </w:p>
        </w:tc>
      </w:tr>
      <w:tr>
        <w:tc>
          <w:tcPr>
            <w:tcW w:type="dxa" w:w="3408"/>
          </w:tcPr>
          <w:p>
            <w:r>
              <w:t>А, Б, В1–В4</w:t>
            </w:r>
          </w:p>
        </w:tc>
        <w:tc>
          <w:tcPr>
            <w:tcW w:type="dxa" w:w="3408"/>
          </w:tcPr>
          <w:p>
            <w:r>
              <w:t>C</w:t>
            </w:r>
          </w:p>
        </w:tc>
        <w:tc>
          <w:tcPr>
            <w:tcW w:type="dxa" w:w="3408"/>
          </w:tcPr>
          <w:p>
            <w:r>
              <w:t>3A, 70B, C или 70B, C</w:t>
            </w:r>
          </w:p>
        </w:tc>
      </w:tr>
      <w:tr>
        <w:tc>
          <w:tcPr>
            <w:tcW w:type="dxa" w:w="3408"/>
          </w:tcPr>
          <w:p>
            <w:r>
              <w:t>А, Б, В1–В4</w:t>
            </w:r>
          </w:p>
        </w:tc>
        <w:tc>
          <w:tcPr>
            <w:tcW w:type="dxa" w:w="3408"/>
          </w:tcPr>
          <w:p>
            <w:r>
              <w:t>D</w:t>
            </w:r>
          </w:p>
        </w:tc>
        <w:tc>
          <w:tcPr>
            <w:tcW w:type="dxa" w:w="3408"/>
          </w:tcPr>
          <w:p>
            <w:r>
              <w:t>D</w:t>
            </w:r>
          </w:p>
        </w:tc>
      </w:tr>
      <w:tr>
        <w:tc>
          <w:tcPr>
            <w:tcW w:type="dxa" w:w="3408"/>
          </w:tcPr>
          <w:p>
            <w:r>
              <w:t>А, Б, В1–В4</w:t>
            </w:r>
          </w:p>
        </w:tc>
        <w:tc>
          <w:tcPr>
            <w:tcW w:type="dxa" w:w="3408"/>
          </w:tcPr>
          <w:p>
            <w:r>
              <w:t>E</w:t>
            </w:r>
          </w:p>
        </w:tc>
        <w:tc>
          <w:tcPr>
            <w:tcW w:type="dxa" w:w="3408"/>
          </w:tcPr>
          <w:p>
            <w:r>
              <w:t>55B, C, E или 2A, 55B, C, E</w:t>
            </w:r>
          </w:p>
        </w:tc>
      </w:tr>
      <w:tr>
        <w:tc>
          <w:tcPr>
            <w:tcW w:type="dxa" w:w="3408"/>
          </w:tcPr>
          <w:p>
            <w:r>
              <w:t>Г, Д</w:t>
            </w:r>
          </w:p>
        </w:tc>
        <w:tc>
          <w:tcPr>
            <w:tcW w:type="dxa" w:w="3408"/>
          </w:tcPr>
          <w:p>
            <w:r>
              <w:t>A</w:t>
            </w:r>
          </w:p>
        </w:tc>
        <w:tc>
          <w:tcPr>
            <w:tcW w:type="dxa" w:w="3408"/>
          </w:tcPr>
          <w:p>
            <w:r>
              <w:t>2A</w:t>
            </w:r>
          </w:p>
        </w:tc>
      </w:tr>
      <w:tr>
        <w:tc>
          <w:tcPr>
            <w:tcW w:type="dxa" w:w="3408"/>
          </w:tcPr>
          <w:p>
            <w:r>
              <w:t>Г, Д</w:t>
            </w:r>
          </w:p>
        </w:tc>
        <w:tc>
          <w:tcPr>
            <w:tcW w:type="dxa" w:w="3408"/>
          </w:tcPr>
          <w:p>
            <w:r>
              <w:t>B</w:t>
            </w:r>
          </w:p>
        </w:tc>
        <w:tc>
          <w:tcPr>
            <w:tcW w:type="dxa" w:w="3408"/>
          </w:tcPr>
          <w:p>
            <w:r>
              <w:t>55B</w:t>
            </w:r>
          </w:p>
        </w:tc>
      </w:tr>
      <w:tr>
        <w:tc>
          <w:tcPr>
            <w:tcW w:type="dxa" w:w="3408"/>
          </w:tcPr>
          <w:p>
            <w:r>
              <w:t>Г, Д</w:t>
            </w:r>
          </w:p>
        </w:tc>
        <w:tc>
          <w:tcPr>
            <w:tcW w:type="dxa" w:w="3408"/>
          </w:tcPr>
          <w:p>
            <w:r>
              <w:t>C</w:t>
            </w:r>
          </w:p>
        </w:tc>
        <w:tc>
          <w:tcPr>
            <w:tcW w:type="dxa" w:w="3408"/>
          </w:tcPr>
          <w:p>
            <w:r>
              <w:t>2A, 55B, C или 55B, C</w:t>
            </w:r>
          </w:p>
        </w:tc>
      </w:tr>
      <w:tr>
        <w:tc>
          <w:tcPr>
            <w:tcW w:type="dxa" w:w="3408"/>
          </w:tcPr>
          <w:p>
            <w:r>
              <w:t>Г, Д</w:t>
            </w:r>
          </w:p>
        </w:tc>
        <w:tc>
          <w:tcPr>
            <w:tcW w:type="dxa" w:w="3408"/>
          </w:tcPr>
          <w:p>
            <w:r>
              <w:t>D</w:t>
            </w:r>
          </w:p>
        </w:tc>
        <w:tc>
          <w:tcPr>
            <w:tcW w:type="dxa" w:w="3408"/>
          </w:tcPr>
          <w:p>
            <w:r>
              <w:t>D</w:t>
            </w:r>
          </w:p>
        </w:tc>
      </w:tr>
      <w:tr>
        <w:tc>
          <w:tcPr>
            <w:tcW w:type="dxa" w:w="3408"/>
          </w:tcPr>
          <w:p>
            <w:r>
              <w:t>Г, Д</w:t>
            </w:r>
          </w:p>
        </w:tc>
        <w:tc>
          <w:tcPr>
            <w:tcW w:type="dxa" w:w="3408"/>
          </w:tcPr>
          <w:p>
            <w:r>
              <w:t>E</w:t>
            </w:r>
          </w:p>
        </w:tc>
        <w:tc>
          <w:tcPr>
            <w:tcW w:type="dxa" w:w="3408"/>
          </w:tcPr>
          <w:p>
            <w:r>
              <w:t>55B, C, E или 2A, 55B, C, E</w:t>
            </w:r>
          </w:p>
        </w:tc>
      </w:tr>
      <w:tr>
        <w:tc>
          <w:tcPr>
            <w:tcW w:type="dxa" w:w="3408"/>
          </w:tcPr>
          <w:p>
            <w:r>
              <w:t>Общественные здания</w:t>
            </w:r>
          </w:p>
        </w:tc>
        <w:tc>
          <w:tcPr>
            <w:tcW w:type="dxa" w:w="3408"/>
          </w:tcPr>
          <w:p>
            <w:r>
              <w:t>A</w:t>
            </w:r>
          </w:p>
        </w:tc>
        <w:tc>
          <w:tcPr>
            <w:tcW w:type="dxa" w:w="3408"/>
          </w:tcPr>
          <w:p>
            <w:r>
              <w:t>2A</w:t>
            </w:r>
          </w:p>
        </w:tc>
      </w:tr>
      <w:tr>
        <w:tc>
          <w:tcPr>
            <w:tcW w:type="dxa" w:w="3408"/>
          </w:tcPr>
          <w:p>
            <w:r>
              <w:t>Общественные здания</w:t>
            </w:r>
          </w:p>
        </w:tc>
        <w:tc>
          <w:tcPr>
            <w:tcW w:type="dxa" w:w="3408"/>
          </w:tcPr>
          <w:p>
            <w:r>
              <w:t>B</w:t>
            </w:r>
          </w:p>
        </w:tc>
        <w:tc>
          <w:tcPr>
            <w:tcW w:type="dxa" w:w="3408"/>
          </w:tcPr>
          <w:p>
            <w:r>
              <w:t>55B</w:t>
            </w:r>
          </w:p>
        </w:tc>
      </w:tr>
      <w:tr>
        <w:tc>
          <w:tcPr>
            <w:tcW w:type="dxa" w:w="3408"/>
          </w:tcPr>
          <w:p>
            <w:r>
              <w:t>Общественные здания</w:t>
            </w:r>
          </w:p>
        </w:tc>
        <w:tc>
          <w:tcPr>
            <w:tcW w:type="dxa" w:w="3408"/>
          </w:tcPr>
          <w:p>
            <w:r>
              <w:t>C</w:t>
            </w:r>
          </w:p>
        </w:tc>
        <w:tc>
          <w:tcPr>
            <w:tcW w:type="dxa" w:w="3408"/>
          </w:tcPr>
          <w:p>
            <w:r>
              <w:t>2A, 55B, C или 55B, C</w:t>
            </w:r>
          </w:p>
        </w:tc>
      </w:tr>
      <w:tr>
        <w:tc>
          <w:tcPr>
            <w:tcW w:type="dxa" w:w="3408"/>
          </w:tcPr>
          <w:p>
            <w:r>
              <w:t>Общественные здания</w:t>
            </w:r>
          </w:p>
        </w:tc>
        <w:tc>
          <w:tcPr>
            <w:tcW w:type="dxa" w:w="3408"/>
          </w:tcPr>
          <w:p>
            <w:r>
              <w:t>E</w:t>
            </w:r>
          </w:p>
        </w:tc>
        <w:tc>
          <w:tcPr>
            <w:tcW w:type="dxa" w:w="3408"/>
          </w:tcPr>
          <w:p>
            <w:r>
              <w:t>55B, C, E или 2A, 55B, C, E</w:t>
            </w:r>
          </w:p>
        </w:tc>
      </w:tr>
    </w:tbl>
    <w:p>
      <w:pPr>
        <w:pStyle w:val="Heading1"/>
      </w:pPr>
      <w:r>
        <w:t>Приложение № 2. Передвижные огнетушители</w:t>
      </w:r>
    </w:p>
    <w:p>
      <w:r>
        <w:t>Для производственных и складских помещений свыше 500 кв. м применяются дополнительные нормы по приложению № 2. Количество и требуемый ранг тушения зависят от категории помещения, защищаемой площади и класса пожара.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</w:tcPr>
          <w:p>
            <w:r>
              <w:t>Категория помещения</w:t>
            </w:r>
          </w:p>
        </w:tc>
        <w:tc>
          <w:tcPr>
            <w:tcW w:type="dxa" w:w="2556"/>
          </w:tcPr>
          <w:p>
            <w:r>
              <w:t>Предельная площадь</w:t>
            </w:r>
          </w:p>
        </w:tc>
        <w:tc>
          <w:tcPr>
            <w:tcW w:type="dxa" w:w="2556"/>
          </w:tcPr>
          <w:p>
            <w:r>
              <w:t>Класс пожара</w:t>
            </w:r>
          </w:p>
        </w:tc>
        <w:tc>
          <w:tcPr>
            <w:tcW w:type="dxa" w:w="2556"/>
          </w:tcPr>
          <w:p>
            <w:r>
              <w:t>Минимальное количество / ранг</w:t>
            </w:r>
          </w:p>
        </w:tc>
      </w:tr>
      <w:tr>
        <w:tc>
          <w:tcPr>
            <w:tcW w:type="dxa" w:w="2556"/>
          </w:tcPr>
          <w:p>
            <w:r>
              <w:t>А, Б, В1–В4</w:t>
            </w:r>
          </w:p>
        </w:tc>
        <w:tc>
          <w:tcPr>
            <w:tcW w:type="dxa" w:w="2556"/>
          </w:tcPr>
          <w:p>
            <w:r>
              <w:t>500 м²</w:t>
            </w:r>
          </w:p>
        </w:tc>
        <w:tc>
          <w:tcPr>
            <w:tcW w:type="dxa" w:w="2556"/>
          </w:tcPr>
          <w:p>
            <w:r>
              <w:t>A</w:t>
            </w:r>
          </w:p>
        </w:tc>
        <w:tc>
          <w:tcPr>
            <w:tcW w:type="dxa" w:w="2556"/>
          </w:tcPr>
          <w:p>
            <w:r>
              <w:t>2 × 6A или 1 × 10A</w:t>
            </w:r>
          </w:p>
        </w:tc>
      </w:tr>
      <w:tr>
        <w:tc>
          <w:tcPr>
            <w:tcW w:type="dxa" w:w="2556"/>
          </w:tcPr>
          <w:p>
            <w:r>
              <w:t>А, Б, В1–В4</w:t>
            </w:r>
          </w:p>
        </w:tc>
        <w:tc>
          <w:tcPr>
            <w:tcW w:type="dxa" w:w="2556"/>
          </w:tcPr>
          <w:p>
            <w:r>
              <w:t>500 м²</w:t>
            </w:r>
          </w:p>
        </w:tc>
        <w:tc>
          <w:tcPr>
            <w:tcW w:type="dxa" w:w="2556"/>
          </w:tcPr>
          <w:p>
            <w:r>
              <w:t>B</w:t>
            </w:r>
          </w:p>
        </w:tc>
        <w:tc>
          <w:tcPr>
            <w:tcW w:type="dxa" w:w="2556"/>
          </w:tcPr>
          <w:p>
            <w:r>
              <w:t>2 × 144B или 1 × 233B</w:t>
            </w:r>
          </w:p>
        </w:tc>
      </w:tr>
      <w:tr>
        <w:tc>
          <w:tcPr>
            <w:tcW w:type="dxa" w:w="2556"/>
          </w:tcPr>
          <w:p>
            <w:r>
              <w:t>А, Б, В1–В4</w:t>
            </w:r>
          </w:p>
        </w:tc>
        <w:tc>
          <w:tcPr>
            <w:tcW w:type="dxa" w:w="2556"/>
          </w:tcPr>
          <w:p>
            <w:r>
              <w:t>500 м²</w:t>
            </w:r>
          </w:p>
        </w:tc>
        <w:tc>
          <w:tcPr>
            <w:tcW w:type="dxa" w:w="2556"/>
          </w:tcPr>
          <w:p>
            <w:r>
              <w:t>C</w:t>
            </w:r>
          </w:p>
        </w:tc>
        <w:tc>
          <w:tcPr>
            <w:tcW w:type="dxa" w:w="2556"/>
          </w:tcPr>
          <w:p>
            <w:r>
              <w:t>2 × (6A, 144B, C) или 1 × (10A, 233B, C)</w:t>
            </w:r>
          </w:p>
        </w:tc>
      </w:tr>
      <w:tr>
        <w:tc>
          <w:tcPr>
            <w:tcW w:type="dxa" w:w="2556"/>
          </w:tcPr>
          <w:p>
            <w:r>
              <w:t>А, Б, В1–В4</w:t>
            </w:r>
          </w:p>
        </w:tc>
        <w:tc>
          <w:tcPr>
            <w:tcW w:type="dxa" w:w="2556"/>
          </w:tcPr>
          <w:p>
            <w:r>
              <w:t>500 м²</w:t>
            </w:r>
          </w:p>
        </w:tc>
        <w:tc>
          <w:tcPr>
            <w:tcW w:type="dxa" w:w="2556"/>
          </w:tcPr>
          <w:p>
            <w:r>
              <w:t>D</w:t>
            </w:r>
          </w:p>
        </w:tc>
        <w:tc>
          <w:tcPr>
            <w:tcW w:type="dxa" w:w="2556"/>
          </w:tcPr>
          <w:p>
            <w:r>
              <w:t>1 × D</w:t>
            </w:r>
          </w:p>
        </w:tc>
      </w:tr>
      <w:tr>
        <w:tc>
          <w:tcPr>
            <w:tcW w:type="dxa" w:w="2556"/>
          </w:tcPr>
          <w:p>
            <w:r>
              <w:t>А, Б, В1–В4</w:t>
            </w:r>
          </w:p>
        </w:tc>
        <w:tc>
          <w:tcPr>
            <w:tcW w:type="dxa" w:w="2556"/>
          </w:tcPr>
          <w:p>
            <w:r>
              <w:t>500 м²</w:t>
            </w:r>
          </w:p>
        </w:tc>
        <w:tc>
          <w:tcPr>
            <w:tcW w:type="dxa" w:w="2556"/>
          </w:tcPr>
          <w:p>
            <w:r>
              <w:t>E</w:t>
            </w:r>
          </w:p>
        </w:tc>
        <w:tc>
          <w:tcPr>
            <w:tcW w:type="dxa" w:w="2556"/>
          </w:tcPr>
          <w:p>
            <w:r>
              <w:t>2 × (6A, 144B, C, E) или 1 × (10A, 233B, C, E)</w:t>
            </w:r>
          </w:p>
        </w:tc>
      </w:tr>
      <w:tr>
        <w:tc>
          <w:tcPr>
            <w:tcW w:type="dxa" w:w="2556"/>
          </w:tcPr>
          <w:p>
            <w:r>
              <w:t>Г</w:t>
            </w:r>
          </w:p>
        </w:tc>
        <w:tc>
          <w:tcPr>
            <w:tcW w:type="dxa" w:w="2556"/>
          </w:tcPr>
          <w:p>
            <w:r>
              <w:t>800 м²</w:t>
            </w:r>
          </w:p>
        </w:tc>
        <w:tc>
          <w:tcPr>
            <w:tcW w:type="dxa" w:w="2556"/>
          </w:tcPr>
          <w:p>
            <w:r>
              <w:t>A</w:t>
            </w:r>
          </w:p>
        </w:tc>
        <w:tc>
          <w:tcPr>
            <w:tcW w:type="dxa" w:w="2556"/>
          </w:tcPr>
          <w:p>
            <w:r>
              <w:t>2 × 6A или 1 × 10A</w:t>
            </w:r>
          </w:p>
        </w:tc>
      </w:tr>
      <w:tr>
        <w:tc>
          <w:tcPr>
            <w:tcW w:type="dxa" w:w="2556"/>
          </w:tcPr>
          <w:p>
            <w:r>
              <w:t>Г</w:t>
            </w:r>
          </w:p>
        </w:tc>
        <w:tc>
          <w:tcPr>
            <w:tcW w:type="dxa" w:w="2556"/>
          </w:tcPr>
          <w:p>
            <w:r>
              <w:t>800 м²</w:t>
            </w:r>
          </w:p>
        </w:tc>
        <w:tc>
          <w:tcPr>
            <w:tcW w:type="dxa" w:w="2556"/>
          </w:tcPr>
          <w:p>
            <w:r>
              <w:t>B</w:t>
            </w:r>
          </w:p>
        </w:tc>
        <w:tc>
          <w:tcPr>
            <w:tcW w:type="dxa" w:w="2556"/>
          </w:tcPr>
          <w:p>
            <w:r>
              <w:t>2 × 144B или 1 × 233B</w:t>
            </w:r>
          </w:p>
        </w:tc>
      </w:tr>
      <w:tr>
        <w:tc>
          <w:tcPr>
            <w:tcW w:type="dxa" w:w="2556"/>
          </w:tcPr>
          <w:p>
            <w:r>
              <w:t>Г</w:t>
            </w:r>
          </w:p>
        </w:tc>
        <w:tc>
          <w:tcPr>
            <w:tcW w:type="dxa" w:w="2556"/>
          </w:tcPr>
          <w:p>
            <w:r>
              <w:t>800 м²</w:t>
            </w:r>
          </w:p>
        </w:tc>
        <w:tc>
          <w:tcPr>
            <w:tcW w:type="dxa" w:w="2556"/>
          </w:tcPr>
          <w:p>
            <w:r>
              <w:t>C</w:t>
            </w:r>
          </w:p>
        </w:tc>
        <w:tc>
          <w:tcPr>
            <w:tcW w:type="dxa" w:w="2556"/>
          </w:tcPr>
          <w:p>
            <w:r>
              <w:t>2 × (6A, 144B, C) или 1 × (10A, 233B, C), либо 2 × (144B, C) или 1 × (233B, C)</w:t>
            </w:r>
          </w:p>
        </w:tc>
      </w:tr>
      <w:tr>
        <w:tc>
          <w:tcPr>
            <w:tcW w:type="dxa" w:w="2556"/>
          </w:tcPr>
          <w:p>
            <w:r>
              <w:t>Г</w:t>
            </w:r>
          </w:p>
        </w:tc>
        <w:tc>
          <w:tcPr>
            <w:tcW w:type="dxa" w:w="2556"/>
          </w:tcPr>
          <w:p>
            <w:r>
              <w:t>800 м²</w:t>
            </w:r>
          </w:p>
        </w:tc>
        <w:tc>
          <w:tcPr>
            <w:tcW w:type="dxa" w:w="2556"/>
          </w:tcPr>
          <w:p>
            <w:r>
              <w:t>D</w:t>
            </w:r>
          </w:p>
        </w:tc>
        <w:tc>
          <w:tcPr>
            <w:tcW w:type="dxa" w:w="2556"/>
          </w:tcPr>
          <w:p>
            <w:r>
              <w:t>1 × D</w:t>
            </w:r>
          </w:p>
        </w:tc>
      </w:tr>
      <w:tr>
        <w:tc>
          <w:tcPr>
            <w:tcW w:type="dxa" w:w="2556"/>
          </w:tcPr>
          <w:p>
            <w:r>
              <w:t>Г</w:t>
            </w:r>
          </w:p>
        </w:tc>
        <w:tc>
          <w:tcPr>
            <w:tcW w:type="dxa" w:w="2556"/>
          </w:tcPr>
          <w:p>
            <w:r>
              <w:t>800 м²</w:t>
            </w:r>
          </w:p>
        </w:tc>
        <w:tc>
          <w:tcPr>
            <w:tcW w:type="dxa" w:w="2556"/>
          </w:tcPr>
          <w:p>
            <w:r>
              <w:t>E</w:t>
            </w:r>
          </w:p>
        </w:tc>
        <w:tc>
          <w:tcPr>
            <w:tcW w:type="dxa" w:w="2556"/>
          </w:tcPr>
          <w:p>
            <w:r>
              <w:t>2 × (6A, 144B, C, E) или 1 × (10A, 233B, C, E), либо 2 × (144B, C, E) или 1 × (233B, C, E)</w:t>
            </w:r>
          </w:p>
        </w:tc>
      </w:tr>
    </w:tbl>
    <w:p>
      <w:pPr>
        <w:pStyle w:val="Heading1"/>
      </w:pPr>
      <w:r>
        <w:t>Источник и проверка актуальности</w:t>
      </w:r>
    </w:p>
    <w:p>
      <w:r>
        <w:t>Официальная страница МЧС России с постановлением № 1479 (полный документ): https://mchs.gov.ru/dokumenty/602</w:t>
      </w:r>
    </w:p>
    <w:p>
      <w:r>
        <w:t>Текст раздела XIX и приложений № 1–2 сверялся с редакцией Постановления № 1479 от 03.02.2025. Это тематическая выдержка; перед использованием проверьте актуальность редакции на дату публикации.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